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 w:type="dxa"/>
        <w:tblLayout w:type="fixed"/>
        <w:tblCellMar>
          <w:left w:w="70" w:type="dxa"/>
          <w:right w:w="70" w:type="dxa"/>
        </w:tblCellMar>
        <w:tblLook w:val="0000" w:firstRow="0" w:lastRow="0" w:firstColumn="0" w:lastColumn="0" w:noHBand="0" w:noVBand="0"/>
      </w:tblPr>
      <w:tblGrid>
        <w:gridCol w:w="4482"/>
        <w:gridCol w:w="905"/>
        <w:gridCol w:w="3827"/>
      </w:tblGrid>
      <w:tr w:rsidR="006A24A5" w:rsidRPr="00EC4026" w:rsidTr="000519A3">
        <w:trPr>
          <w:cantSplit/>
          <w:trHeight w:val="1843"/>
        </w:trPr>
        <w:tc>
          <w:tcPr>
            <w:tcW w:w="5387" w:type="dxa"/>
            <w:gridSpan w:val="2"/>
            <w:tcBorders>
              <w:top w:val="nil"/>
              <w:left w:val="nil"/>
              <w:bottom w:val="nil"/>
              <w:right w:val="nil"/>
            </w:tcBorders>
          </w:tcPr>
          <w:p w:rsidR="006A24A5" w:rsidRPr="00EC4026" w:rsidRDefault="006A24A5" w:rsidP="000519A3">
            <w:pPr>
              <w:rPr>
                <w:b/>
              </w:rPr>
            </w:pPr>
            <w:r w:rsidRPr="00EC4026">
              <w:rPr>
                <w:b/>
                <w:noProof/>
                <w:lang w:val="en-GB" w:eastAsia="en-GB"/>
              </w:rPr>
              <w:drawing>
                <wp:inline distT="0" distB="0" distL="0" distR="0" wp14:anchorId="6CCB77F3" wp14:editId="54C59CB6">
                  <wp:extent cx="162877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p w:rsidR="006A24A5" w:rsidRPr="00EC4026" w:rsidRDefault="006A24A5" w:rsidP="000519A3">
            <w:pPr>
              <w:rPr>
                <w:b/>
              </w:rPr>
            </w:pPr>
          </w:p>
        </w:tc>
        <w:tc>
          <w:tcPr>
            <w:tcW w:w="3827" w:type="dxa"/>
            <w:tcBorders>
              <w:top w:val="nil"/>
              <w:left w:val="nil"/>
              <w:bottom w:val="nil"/>
              <w:right w:val="nil"/>
            </w:tcBorders>
          </w:tcPr>
          <w:p w:rsidR="006A24A5" w:rsidRPr="00C106FD" w:rsidRDefault="006A24A5" w:rsidP="00C106FD">
            <w:pPr>
              <w:rPr>
                <w:b/>
              </w:rPr>
            </w:pPr>
            <w:r>
              <w:rPr>
                <w:b/>
              </w:rPr>
              <w:t>Doc. ECC/CPG15(13</w:t>
            </w:r>
            <w:r w:rsidRPr="00EC4026">
              <w:rPr>
                <w:b/>
              </w:rPr>
              <w:t>)</w:t>
            </w:r>
            <w:r w:rsidR="00852EF3">
              <w:rPr>
                <w:b/>
              </w:rPr>
              <w:t>004</w:t>
            </w:r>
            <w:bookmarkStart w:id="0" w:name="_GoBack"/>
            <w:bookmarkEnd w:id="0"/>
            <w:r>
              <w:rPr>
                <w:b/>
              </w:rPr>
              <w:t xml:space="preserve"> Annex </w:t>
            </w:r>
            <w:r w:rsidR="00C106FD" w:rsidRPr="00C106FD">
              <w:rPr>
                <w:b/>
              </w:rPr>
              <w:t>4</w:t>
            </w:r>
          </w:p>
        </w:tc>
      </w:tr>
      <w:tr w:rsidR="006A24A5" w:rsidRPr="00EC4026" w:rsidTr="000519A3">
        <w:tblPrEx>
          <w:tblCellMar>
            <w:left w:w="108" w:type="dxa"/>
            <w:right w:w="108" w:type="dxa"/>
          </w:tblCellMar>
        </w:tblPrEx>
        <w:trPr>
          <w:cantSplit/>
        </w:trPr>
        <w:tc>
          <w:tcPr>
            <w:tcW w:w="4482" w:type="dxa"/>
            <w:tcBorders>
              <w:top w:val="nil"/>
              <w:left w:val="nil"/>
              <w:bottom w:val="nil"/>
              <w:right w:val="nil"/>
            </w:tcBorders>
          </w:tcPr>
          <w:p w:rsidR="006A24A5" w:rsidRPr="00EC4026" w:rsidRDefault="006A24A5" w:rsidP="000519A3">
            <w:pPr>
              <w:rPr>
                <w:b/>
              </w:rPr>
            </w:pPr>
            <w:r>
              <w:rPr>
                <w:b/>
              </w:rPr>
              <w:t>CPG15 – 2</w:t>
            </w:r>
          </w:p>
          <w:p w:rsidR="006A24A5" w:rsidRPr="007639C3" w:rsidRDefault="006A24A5" w:rsidP="000519A3">
            <w:pPr>
              <w:rPr>
                <w:b/>
              </w:rPr>
            </w:pPr>
            <w:r>
              <w:rPr>
                <w:b/>
              </w:rPr>
              <w:t>Luxembourg, 22</w:t>
            </w:r>
            <w:r w:rsidRPr="00EC4026">
              <w:rPr>
                <w:b/>
              </w:rPr>
              <w:t xml:space="preserve"> </w:t>
            </w:r>
            <w:r>
              <w:rPr>
                <w:b/>
              </w:rPr>
              <w:t>– 25 January 2013</w:t>
            </w:r>
          </w:p>
        </w:tc>
        <w:tc>
          <w:tcPr>
            <w:tcW w:w="4732" w:type="dxa"/>
            <w:gridSpan w:val="2"/>
            <w:tcBorders>
              <w:top w:val="nil"/>
              <w:left w:val="nil"/>
              <w:bottom w:val="nil"/>
              <w:right w:val="nil"/>
            </w:tcBorders>
          </w:tcPr>
          <w:p w:rsidR="006A24A5" w:rsidRPr="00EC4026" w:rsidRDefault="006A24A5" w:rsidP="000519A3"/>
        </w:tc>
      </w:tr>
      <w:tr w:rsidR="006A24A5" w:rsidRPr="00EC4026" w:rsidTr="000519A3">
        <w:tblPrEx>
          <w:tblCellMar>
            <w:left w:w="108" w:type="dxa"/>
            <w:right w:w="108" w:type="dxa"/>
          </w:tblCellMar>
        </w:tblPrEx>
        <w:trPr>
          <w:cantSplit/>
        </w:trPr>
        <w:tc>
          <w:tcPr>
            <w:tcW w:w="9214" w:type="dxa"/>
            <w:gridSpan w:val="3"/>
            <w:tcBorders>
              <w:top w:val="nil"/>
              <w:left w:val="nil"/>
              <w:bottom w:val="single" w:sz="4" w:space="0" w:color="auto"/>
              <w:right w:val="nil"/>
            </w:tcBorders>
          </w:tcPr>
          <w:p w:rsidR="006A24A5" w:rsidRPr="00EC4026" w:rsidRDefault="006A24A5" w:rsidP="000519A3">
            <w:r w:rsidRPr="00EC4026">
              <w:rPr>
                <w:b/>
              </w:rPr>
              <w:t>Date issued:</w:t>
            </w:r>
            <w:r w:rsidRPr="00EC4026">
              <w:t xml:space="preserve">   </w:t>
            </w:r>
            <w:r>
              <w:t>15 January 2012</w:t>
            </w:r>
            <w:r w:rsidRPr="00EC4026">
              <w:tab/>
            </w:r>
          </w:p>
          <w:p w:rsidR="006A24A5" w:rsidRPr="00EC4026" w:rsidRDefault="006A24A5" w:rsidP="000519A3">
            <w:r w:rsidRPr="00EC4026">
              <w:rPr>
                <w:b/>
              </w:rPr>
              <w:t>Source:</w:t>
            </w:r>
            <w:r w:rsidRPr="00EC4026">
              <w:tab/>
            </w:r>
            <w:r>
              <w:t>CPG PTB</w:t>
            </w:r>
          </w:p>
          <w:p w:rsidR="006A24A5" w:rsidRPr="00C106FD" w:rsidRDefault="006A24A5" w:rsidP="000519A3">
            <w:r w:rsidRPr="00EC4026">
              <w:rPr>
                <w:b/>
              </w:rPr>
              <w:t>Subject:</w:t>
            </w:r>
            <w:r w:rsidRPr="00EC4026">
              <w:t xml:space="preserve"> </w:t>
            </w:r>
            <w:r>
              <w:t xml:space="preserve">Draft CEPT brief on WRC-15 agenda item </w:t>
            </w:r>
            <w:r w:rsidR="00803498" w:rsidRPr="00803498">
              <w:t>1.</w:t>
            </w:r>
            <w:r w:rsidR="00C106FD" w:rsidRPr="00C106FD">
              <w:t>9</w:t>
            </w:r>
          </w:p>
          <w:p w:rsidR="006A24A5" w:rsidRPr="00B44F73" w:rsidRDefault="006A24A5" w:rsidP="000519A3">
            <w:pPr>
              <w:rPr>
                <w:b/>
              </w:rPr>
            </w:pPr>
          </w:p>
        </w:tc>
      </w:tr>
      <w:tr w:rsidR="006A24A5" w:rsidRPr="000E5C90" w:rsidTr="000519A3">
        <w:tblPrEx>
          <w:tblCellMar>
            <w:left w:w="108" w:type="dxa"/>
            <w:right w:w="108" w:type="dxa"/>
          </w:tblCellMar>
        </w:tblPrEx>
        <w:trPr>
          <w:cantSplit/>
        </w:trPr>
        <w:tc>
          <w:tcPr>
            <w:tcW w:w="9214" w:type="dxa"/>
            <w:gridSpan w:val="3"/>
            <w:tcBorders>
              <w:top w:val="single" w:sz="4" w:space="0" w:color="auto"/>
              <w:left w:val="single" w:sz="4" w:space="0" w:color="auto"/>
              <w:bottom w:val="nil"/>
              <w:right w:val="single" w:sz="4" w:space="0" w:color="auto"/>
            </w:tcBorders>
          </w:tcPr>
          <w:p w:rsidR="006A24A5" w:rsidRPr="00B44F73" w:rsidRDefault="006A24A5" w:rsidP="000519A3">
            <w:pPr>
              <w:rPr>
                <w:b/>
              </w:rPr>
            </w:pPr>
            <w:r w:rsidRPr="00B44F73">
              <w:rPr>
                <w:b/>
              </w:rPr>
              <w:t xml:space="preserve">Summary: </w:t>
            </w:r>
          </w:p>
        </w:tc>
      </w:tr>
      <w:tr w:rsidR="006A24A5" w:rsidRPr="000E5C90" w:rsidTr="000519A3">
        <w:tblPrEx>
          <w:tblCellMar>
            <w:left w:w="108" w:type="dxa"/>
            <w:right w:w="108" w:type="dxa"/>
          </w:tblCellMar>
        </w:tblPrEx>
        <w:trPr>
          <w:cantSplit/>
        </w:trPr>
        <w:tc>
          <w:tcPr>
            <w:tcW w:w="9214" w:type="dxa"/>
            <w:gridSpan w:val="3"/>
            <w:tcBorders>
              <w:top w:val="nil"/>
              <w:left w:val="single" w:sz="4" w:space="0" w:color="auto"/>
              <w:bottom w:val="single" w:sz="4" w:space="0" w:color="auto"/>
              <w:right w:val="single" w:sz="4" w:space="0" w:color="auto"/>
            </w:tcBorders>
          </w:tcPr>
          <w:p w:rsidR="006A24A5" w:rsidRPr="00B44F73" w:rsidRDefault="006A24A5" w:rsidP="000519A3"/>
        </w:tc>
      </w:tr>
      <w:tr w:rsidR="006A24A5" w:rsidRPr="000E5C90" w:rsidTr="000519A3">
        <w:tblPrEx>
          <w:tblCellMar>
            <w:left w:w="108" w:type="dxa"/>
            <w:right w:w="108" w:type="dxa"/>
          </w:tblCellMar>
        </w:tblPrEx>
        <w:trPr>
          <w:cantSplit/>
        </w:trPr>
        <w:tc>
          <w:tcPr>
            <w:tcW w:w="9214" w:type="dxa"/>
            <w:gridSpan w:val="3"/>
            <w:tcBorders>
              <w:top w:val="single" w:sz="4" w:space="0" w:color="auto"/>
              <w:left w:val="single" w:sz="4" w:space="0" w:color="auto"/>
              <w:bottom w:val="nil"/>
              <w:right w:val="single" w:sz="4" w:space="0" w:color="auto"/>
            </w:tcBorders>
          </w:tcPr>
          <w:p w:rsidR="006A24A5" w:rsidRPr="00B44F73" w:rsidRDefault="006A24A5" w:rsidP="000519A3">
            <w:pPr>
              <w:rPr>
                <w:b/>
              </w:rPr>
            </w:pPr>
            <w:r w:rsidRPr="00B44F73">
              <w:rPr>
                <w:b/>
              </w:rPr>
              <w:t xml:space="preserve">Proposal: </w:t>
            </w:r>
          </w:p>
        </w:tc>
      </w:tr>
      <w:tr w:rsidR="006A24A5" w:rsidRPr="000E5C90" w:rsidTr="000519A3">
        <w:tblPrEx>
          <w:tblCellMar>
            <w:left w:w="108" w:type="dxa"/>
            <w:right w:w="108" w:type="dxa"/>
          </w:tblCellMar>
        </w:tblPrEx>
        <w:trPr>
          <w:cantSplit/>
        </w:trPr>
        <w:tc>
          <w:tcPr>
            <w:tcW w:w="9214" w:type="dxa"/>
            <w:gridSpan w:val="3"/>
            <w:tcBorders>
              <w:top w:val="nil"/>
              <w:left w:val="single" w:sz="4" w:space="0" w:color="auto"/>
              <w:bottom w:val="single" w:sz="4" w:space="0" w:color="auto"/>
              <w:right w:val="single" w:sz="4" w:space="0" w:color="auto"/>
            </w:tcBorders>
          </w:tcPr>
          <w:p w:rsidR="006A24A5" w:rsidRPr="00C106FD" w:rsidRDefault="006A24A5" w:rsidP="006A24A5">
            <w:r w:rsidRPr="006A24A5">
              <w:t xml:space="preserve">CPG is invited to consider and approve the attached draft Brief on WRC-15 Agenda item </w:t>
            </w:r>
            <w:r w:rsidR="00803498" w:rsidRPr="00803498">
              <w:t>1</w:t>
            </w:r>
            <w:r w:rsidRPr="006A24A5">
              <w:t>.</w:t>
            </w:r>
            <w:r w:rsidR="00C106FD" w:rsidRPr="00C106FD">
              <w:t>9</w:t>
            </w:r>
          </w:p>
          <w:p w:rsidR="006A24A5" w:rsidRDefault="006A24A5" w:rsidP="000519A3"/>
          <w:p w:rsidR="006A24A5" w:rsidRPr="00B44F73" w:rsidRDefault="006A24A5" w:rsidP="000519A3">
            <w:pPr>
              <w:rPr>
                <w:b/>
              </w:rPr>
            </w:pPr>
            <w:r w:rsidRPr="00B44F73">
              <w:rPr>
                <w:b/>
              </w:rPr>
              <w:t xml:space="preserve"> </w:t>
            </w:r>
          </w:p>
        </w:tc>
      </w:tr>
      <w:tr w:rsidR="006A24A5" w:rsidRPr="000E5C90" w:rsidTr="000519A3">
        <w:tblPrEx>
          <w:tblCellMar>
            <w:left w:w="108" w:type="dxa"/>
            <w:right w:w="108" w:type="dxa"/>
          </w:tblCellMar>
        </w:tblPrEx>
        <w:trPr>
          <w:cantSplit/>
        </w:trPr>
        <w:tc>
          <w:tcPr>
            <w:tcW w:w="9214" w:type="dxa"/>
            <w:gridSpan w:val="3"/>
            <w:tcBorders>
              <w:top w:val="single" w:sz="4" w:space="0" w:color="auto"/>
              <w:left w:val="single" w:sz="4" w:space="0" w:color="auto"/>
              <w:bottom w:val="nil"/>
              <w:right w:val="single" w:sz="4" w:space="0" w:color="auto"/>
            </w:tcBorders>
          </w:tcPr>
          <w:p w:rsidR="006A24A5" w:rsidRPr="00B44F73" w:rsidRDefault="006A24A5" w:rsidP="000519A3">
            <w:pPr>
              <w:rPr>
                <w:b/>
              </w:rPr>
            </w:pPr>
            <w:r w:rsidRPr="00B44F73">
              <w:rPr>
                <w:b/>
              </w:rPr>
              <w:t>Background:</w:t>
            </w:r>
            <w:r w:rsidRPr="00B44F73">
              <w:rPr>
                <w:b/>
              </w:rPr>
              <w:tab/>
            </w:r>
          </w:p>
        </w:tc>
      </w:tr>
      <w:tr w:rsidR="006A24A5" w:rsidRPr="000E5C90" w:rsidTr="000519A3">
        <w:tblPrEx>
          <w:tblCellMar>
            <w:left w:w="108" w:type="dxa"/>
            <w:right w:w="108" w:type="dxa"/>
          </w:tblCellMar>
        </w:tblPrEx>
        <w:trPr>
          <w:cantSplit/>
        </w:trPr>
        <w:tc>
          <w:tcPr>
            <w:tcW w:w="9214" w:type="dxa"/>
            <w:gridSpan w:val="3"/>
            <w:tcBorders>
              <w:top w:val="nil"/>
              <w:left w:val="single" w:sz="4" w:space="0" w:color="auto"/>
              <w:bottom w:val="single" w:sz="4" w:space="0" w:color="auto"/>
              <w:right w:val="single" w:sz="4" w:space="0" w:color="auto"/>
            </w:tcBorders>
          </w:tcPr>
          <w:p w:rsidR="006A24A5" w:rsidRPr="00FD5486" w:rsidRDefault="006A24A5" w:rsidP="000519A3">
            <w:pPr>
              <w:rPr>
                <w:szCs w:val="20"/>
              </w:rPr>
            </w:pPr>
          </w:p>
        </w:tc>
      </w:tr>
    </w:tbl>
    <w:p w:rsidR="00E35508" w:rsidRPr="006A24A5" w:rsidRDefault="00E35508" w:rsidP="00E35508">
      <w:pPr>
        <w:jc w:val="center"/>
        <w:rPr>
          <w:rFonts w:ascii="Times New Roman" w:hAnsi="Times New Roman"/>
          <w:b/>
          <w:sz w:val="24"/>
          <w:lang w:eastAsia="nl-NL" w:bidi="en-US"/>
        </w:rPr>
      </w:pPr>
    </w:p>
    <w:p w:rsidR="00DC58F0" w:rsidRPr="006A24A5" w:rsidRDefault="00DC58F0" w:rsidP="00DC58F0">
      <w:pPr>
        <w:rPr>
          <w:b/>
          <w:color w:val="FFFFFF"/>
          <w:szCs w:val="20"/>
          <w:lang w:val="en-GB"/>
        </w:rPr>
        <w:sectPr w:rsidR="00DC58F0" w:rsidRPr="006A24A5" w:rsidSect="008A54FC">
          <w:headerReference w:type="even" r:id="rId10"/>
          <w:pgSz w:w="11907" w:h="16840" w:code="9"/>
          <w:pgMar w:top="1440" w:right="1134" w:bottom="1440" w:left="1134" w:header="709" w:footer="709" w:gutter="0"/>
          <w:cols w:space="708"/>
          <w:docGrid w:linePitch="360"/>
        </w:sectPr>
      </w:pPr>
    </w:p>
    <w:p w:rsidR="008018E9" w:rsidRDefault="008018E9" w:rsidP="008018E9">
      <w:pPr>
        <w:rPr>
          <w:b/>
          <w:color w:val="FFFFFF"/>
          <w:szCs w:val="20"/>
        </w:rPr>
      </w:pPr>
    </w:p>
    <w:p w:rsidR="00C106FD" w:rsidRPr="00005CA4" w:rsidRDefault="00C106FD" w:rsidP="00C106FD">
      <w:pPr>
        <w:rPr>
          <w:b/>
          <w:color w:val="C00000"/>
        </w:rPr>
      </w:pPr>
      <w:r w:rsidRPr="00005CA4">
        <w:rPr>
          <w:b/>
          <w:color w:val="C00000"/>
        </w:rPr>
        <w:t xml:space="preserve">DRAFT CEPT BRIEF ON AGENDA ITEM </w:t>
      </w:r>
      <w:r>
        <w:rPr>
          <w:b/>
          <w:color w:val="C00000"/>
        </w:rPr>
        <w:t>1.9</w:t>
      </w:r>
      <w:r w:rsidRPr="00005CA4">
        <w:rPr>
          <w:b/>
          <w:color w:val="C00000"/>
        </w:rPr>
        <w:t xml:space="preserve"> </w:t>
      </w:r>
    </w:p>
    <w:p w:rsidR="00C106FD" w:rsidRPr="00D55035" w:rsidRDefault="00C106FD" w:rsidP="00C106FD">
      <w:pPr>
        <w:rPr>
          <w:rFonts w:cs="Arial"/>
        </w:rPr>
      </w:pPr>
    </w:p>
    <w:p w:rsidR="00C106FD" w:rsidRPr="00D55035" w:rsidRDefault="00C106FD" w:rsidP="00C106FD">
      <w:pPr>
        <w:keepNext/>
        <w:keepLines/>
        <w:tabs>
          <w:tab w:val="left" w:pos="690"/>
        </w:tabs>
        <w:spacing w:before="40" w:after="40"/>
        <w:rPr>
          <w:rFonts w:cs="Arial"/>
        </w:rPr>
      </w:pPr>
      <w:r w:rsidRPr="00D55035">
        <w:rPr>
          <w:rFonts w:cs="Arial"/>
        </w:rPr>
        <w:t>1.9</w:t>
      </w:r>
      <w:r w:rsidRPr="00D55035">
        <w:rPr>
          <w:rFonts w:cs="Arial"/>
        </w:rPr>
        <w:tab/>
        <w:t xml:space="preserve">to consider, in accordance with Resolution </w:t>
      </w:r>
      <w:r w:rsidRPr="00D55035">
        <w:rPr>
          <w:rFonts w:cs="Arial"/>
          <w:b/>
        </w:rPr>
        <w:t>758 (WRC</w:t>
      </w:r>
      <w:r w:rsidRPr="00D55035">
        <w:rPr>
          <w:rFonts w:cs="Arial"/>
          <w:b/>
        </w:rPr>
        <w:noBreakHyphen/>
        <w:t>12)</w:t>
      </w:r>
      <w:r w:rsidRPr="00D55035">
        <w:rPr>
          <w:rFonts w:cs="Arial"/>
        </w:rPr>
        <w:t>:</w:t>
      </w:r>
    </w:p>
    <w:p w:rsidR="00C106FD" w:rsidRPr="00D55035" w:rsidRDefault="00C106FD" w:rsidP="00C106FD">
      <w:pPr>
        <w:keepNext/>
        <w:keepLines/>
        <w:tabs>
          <w:tab w:val="left" w:pos="690"/>
        </w:tabs>
        <w:spacing w:before="40" w:after="40"/>
        <w:rPr>
          <w:rFonts w:cs="Arial"/>
        </w:rPr>
      </w:pPr>
      <w:r w:rsidRPr="00D55035">
        <w:rPr>
          <w:rFonts w:cs="Arial"/>
        </w:rPr>
        <w:t>1.9.1</w:t>
      </w:r>
      <w:r w:rsidRPr="00D55035">
        <w:rPr>
          <w:rFonts w:cs="Arial"/>
        </w:rPr>
        <w:tab/>
        <w:t>possible new allocations to the fixed-satellite service in the frequency bands 7 150-7 250 MHz (space-to-Earth) and 8 400-8 500 MHz (Earth-to-space), subject to appropriate sharing conditions;</w:t>
      </w:r>
    </w:p>
    <w:p w:rsidR="00C106FD" w:rsidRPr="00D55035" w:rsidRDefault="00C106FD" w:rsidP="00C106FD">
      <w:pPr>
        <w:pStyle w:val="ECCParagraph"/>
        <w:rPr>
          <w:rFonts w:cs="Arial"/>
          <w:lang w:val="en-US"/>
        </w:rPr>
      </w:pPr>
      <w:r w:rsidRPr="00D55035">
        <w:rPr>
          <w:rFonts w:cs="Arial"/>
        </w:rPr>
        <w:t>1.9.2</w:t>
      </w:r>
      <w:r w:rsidRPr="00D55035">
        <w:rPr>
          <w:rFonts w:cs="Arial"/>
        </w:rPr>
        <w:tab/>
        <w:t>the possibility of allocating the bands 7 375-7 750 MHz and 8 025-8 400 MHz to the maritime-mobile satellite service and additional regulatory measures, depending on the results of appropriate studies;</w:t>
      </w:r>
    </w:p>
    <w:p w:rsidR="00C106FD" w:rsidRPr="00D55035" w:rsidRDefault="00C106FD" w:rsidP="00C106FD">
      <w:pPr>
        <w:pStyle w:val="Heading1"/>
      </w:pPr>
      <w:r w:rsidRPr="00D55035">
        <w:t>ISSUE</w:t>
      </w:r>
    </w:p>
    <w:p w:rsidR="00C106FD" w:rsidRDefault="00C106FD" w:rsidP="00C106FD">
      <w:pPr>
        <w:tabs>
          <w:tab w:val="left" w:pos="691"/>
        </w:tabs>
        <w:rPr>
          <w:lang w:eastAsia="fr-FR"/>
        </w:rPr>
      </w:pPr>
      <w:r>
        <w:rPr>
          <w:lang w:val="en-GB" w:eastAsia="fr-FR"/>
        </w:rPr>
        <w:tab/>
      </w:r>
      <w:r>
        <w:rPr>
          <w:lang w:eastAsia="fr-FR"/>
        </w:rPr>
        <w:t>“to conduct technical and regulatory studies on the possible new allocations to the FSS in the frequency bands 7 150-7 250 MHz (space-to-Earth) and 8 400-8 500 MHz (Earth-to-space) in order to ensure compatibility with existing services, with a view to extending the current worldwide allocation to the FSS in the bands 7 250-7 750 MHz (space-to-Earth) and 7 900-8 400 MHz (Earth</w:t>
      </w:r>
      <w:r>
        <w:rPr>
          <w:lang w:eastAsia="fr-FR"/>
        </w:rPr>
        <w:noBreakHyphen/>
        <w:t>to</w:t>
      </w:r>
      <w:r>
        <w:rPr>
          <w:lang w:eastAsia="fr-FR"/>
        </w:rPr>
        <w:noBreakHyphen/>
        <w:t>space);</w:t>
      </w:r>
    </w:p>
    <w:p w:rsidR="00C106FD" w:rsidRDefault="00C106FD" w:rsidP="00C106FD">
      <w:pPr>
        <w:tabs>
          <w:tab w:val="left" w:pos="691"/>
        </w:tabs>
        <w:rPr>
          <w:b/>
          <w:i/>
          <w:iCs/>
          <w:lang w:eastAsia="nl-NL"/>
        </w:rPr>
      </w:pPr>
      <w:r>
        <w:rPr>
          <w:lang w:eastAsia="fr-FR"/>
        </w:rPr>
        <w:tab/>
        <w:t xml:space="preserve">to conduct the appropriate regulatory studies to ensure that any new FSS allocation referred to in </w:t>
      </w:r>
      <w:r>
        <w:rPr>
          <w:i/>
          <w:iCs/>
          <w:lang w:eastAsia="fr-FR"/>
        </w:rPr>
        <w:t>resolves</w:t>
      </w:r>
      <w:r>
        <w:rPr>
          <w:lang w:eastAsia="fr-FR"/>
        </w:rPr>
        <w:t xml:space="preserve"> 1 above is limited to FSS systems operated from a fixed known location </w:t>
      </w:r>
      <w:r>
        <w:rPr>
          <w:lang w:eastAsia="nl-NL"/>
        </w:rPr>
        <w:t xml:space="preserve">in order to enable compatibility with systems of other services, taking into account that the operational requirements in </w:t>
      </w:r>
      <w:r>
        <w:rPr>
          <w:lang w:eastAsia="fr-FR"/>
        </w:rPr>
        <w:t xml:space="preserve">the bands 7 150-7 250 MHz (space-to-Earth) and 8 400-8 500 MHz (Earth-to-space) </w:t>
      </w:r>
      <w:r>
        <w:rPr>
          <w:lang w:eastAsia="nl-NL"/>
        </w:rPr>
        <w:t>do not encompass small VSAT-like FSS earth stations;</w:t>
      </w:r>
    </w:p>
    <w:p w:rsidR="00C106FD" w:rsidRDefault="00C106FD" w:rsidP="00C106FD">
      <w:pPr>
        <w:tabs>
          <w:tab w:val="left" w:pos="691"/>
        </w:tabs>
        <w:rPr>
          <w:lang w:eastAsia="fr-FR"/>
        </w:rPr>
      </w:pPr>
      <w:r>
        <w:rPr>
          <w:lang w:eastAsia="fr-FR"/>
        </w:rPr>
        <w:tab/>
        <w:t>to conduct technical and regulatory studies on the possibility of allocating the bands 7 375-7 750 MHz (space-to-Earth) and 8 025-8 400 MHz (Earth-to-space), or parts thereof, to the maritime-mobile satellite service, while ensuring compatibility with existing services”</w:t>
      </w:r>
    </w:p>
    <w:p w:rsidR="00C106FD" w:rsidRDefault="00C106FD" w:rsidP="00C106FD">
      <w:pPr>
        <w:pStyle w:val="Heading1"/>
      </w:pPr>
      <w:r>
        <w:t xml:space="preserve">PRELIMINARY </w:t>
      </w:r>
      <w:r w:rsidRPr="00B35593">
        <w:t>CEPT position</w:t>
      </w:r>
      <w:r>
        <w:t xml:space="preserve"> </w:t>
      </w:r>
    </w:p>
    <w:p w:rsidR="00C106FD" w:rsidRDefault="00C106FD" w:rsidP="00C106FD">
      <w:pPr>
        <w:rPr>
          <w:szCs w:val="20"/>
        </w:rPr>
      </w:pPr>
      <w:r w:rsidRPr="008A5603">
        <w:rPr>
          <w:szCs w:val="20"/>
        </w:rPr>
        <w:t xml:space="preserve">CEPT supports the on-going ITU-R studies with a view of </w:t>
      </w:r>
      <w:r>
        <w:rPr>
          <w:szCs w:val="20"/>
        </w:rPr>
        <w:t>making</w:t>
      </w:r>
      <w:r w:rsidRPr="008A5603">
        <w:rPr>
          <w:szCs w:val="20"/>
        </w:rPr>
        <w:t xml:space="preserve"> a new allocation to </w:t>
      </w:r>
      <w:r>
        <w:rPr>
          <w:szCs w:val="20"/>
        </w:rPr>
        <w:t xml:space="preserve">the </w:t>
      </w:r>
      <w:r w:rsidRPr="008A5603">
        <w:rPr>
          <w:szCs w:val="20"/>
        </w:rPr>
        <w:t xml:space="preserve">FSS in the bands 7 150-7 250 MHz (space-to-Earth) and 8 400-8 500 MHz (Earth-to-space) and a new allocation to </w:t>
      </w:r>
      <w:r>
        <w:rPr>
          <w:szCs w:val="20"/>
        </w:rPr>
        <w:t xml:space="preserve">the </w:t>
      </w:r>
      <w:r w:rsidRPr="008A5603">
        <w:rPr>
          <w:szCs w:val="20"/>
        </w:rPr>
        <w:t>MMSS in the bands 7 375-7 750 MHz (space-to-Earth) and 8 </w:t>
      </w:r>
      <w:r>
        <w:rPr>
          <w:szCs w:val="20"/>
        </w:rPr>
        <w:t xml:space="preserve">025-8 400 MHz (Earth-to-space), condition to the fact </w:t>
      </w:r>
      <w:proofErr w:type="spellStart"/>
      <w:r>
        <w:rPr>
          <w:szCs w:val="20"/>
        </w:rPr>
        <w:t>that</w:t>
      </w:r>
      <w:r w:rsidRPr="008A5603">
        <w:rPr>
          <w:szCs w:val="20"/>
        </w:rPr>
        <w:t>not</w:t>
      </w:r>
      <w:proofErr w:type="spellEnd"/>
      <w:r w:rsidRPr="008A5603">
        <w:rPr>
          <w:szCs w:val="20"/>
        </w:rPr>
        <w:t xml:space="preserve"> putting undue constraints to </w:t>
      </w:r>
      <w:r>
        <w:rPr>
          <w:szCs w:val="20"/>
        </w:rPr>
        <w:t xml:space="preserve">and to ensure protection of </w:t>
      </w:r>
      <w:r w:rsidRPr="008A5603">
        <w:rPr>
          <w:szCs w:val="20"/>
        </w:rPr>
        <w:t xml:space="preserve">the </w:t>
      </w:r>
      <w:r>
        <w:rPr>
          <w:szCs w:val="20"/>
        </w:rPr>
        <w:t>se</w:t>
      </w:r>
      <w:r w:rsidRPr="008A5603">
        <w:rPr>
          <w:szCs w:val="20"/>
        </w:rPr>
        <w:t xml:space="preserve">rvices </w:t>
      </w:r>
      <w:r>
        <w:rPr>
          <w:szCs w:val="20"/>
        </w:rPr>
        <w:t xml:space="preserve">already </w:t>
      </w:r>
      <w:r w:rsidRPr="008A5603">
        <w:rPr>
          <w:szCs w:val="20"/>
        </w:rPr>
        <w:t xml:space="preserve">allocated in these frequency bands. </w:t>
      </w:r>
    </w:p>
    <w:p w:rsidR="00C106FD" w:rsidRDefault="00C106FD" w:rsidP="00C106FD">
      <w:pPr>
        <w:keepNext/>
        <w:keepLines/>
        <w:tabs>
          <w:tab w:val="left" w:pos="690"/>
        </w:tabs>
        <w:spacing w:before="40" w:after="40"/>
      </w:pPr>
    </w:p>
    <w:p w:rsidR="00C106FD" w:rsidRPr="002F345C" w:rsidRDefault="00C106FD" w:rsidP="00C106FD">
      <w:pPr>
        <w:keepNext/>
        <w:keepLines/>
        <w:tabs>
          <w:tab w:val="left" w:pos="690"/>
        </w:tabs>
        <w:spacing w:before="40" w:after="40"/>
      </w:pPr>
      <w:r>
        <w:t xml:space="preserve">Regarding 1.9.2, </w:t>
      </w:r>
      <w:r w:rsidRPr="002F345C">
        <w:t xml:space="preserve">CEPT </w:t>
      </w:r>
      <w:r>
        <w:t xml:space="preserve">is also of the opinion that a more detailed understanding of the requirements/justification and technical parameters of </w:t>
      </w:r>
      <w:r w:rsidRPr="002F345C">
        <w:t>maritime-mobile satellite service</w:t>
      </w:r>
      <w:r>
        <w:t xml:space="preserve"> (MMSS) are required before it can give a preliminary view on the CEPT position.</w:t>
      </w:r>
    </w:p>
    <w:p w:rsidR="00C106FD" w:rsidRDefault="00C106FD" w:rsidP="00C106FD">
      <w:pPr>
        <w:pStyle w:val="Heading1"/>
      </w:pPr>
      <w:r w:rsidRPr="005F007F">
        <w:t xml:space="preserve">Background </w:t>
      </w:r>
    </w:p>
    <w:p w:rsidR="00C106FD" w:rsidRDefault="00C106FD" w:rsidP="00C106FD">
      <w:pPr>
        <w:pStyle w:val="ECCParagraph"/>
      </w:pPr>
      <w:r>
        <w:t xml:space="preserve">The frequency bands 7 250-7 750 MHz (space-to-Earth) and 7 900-8 400 MHz (Earth-to-space) are currently allocated worldwide to the fixed-satellite service (FSS) and the frequency bands 7 250-7 375 MHz (space-to-Earth) and 7 900-8 025 MHz (Earth-to-space) are also allocated to the mobile-satellite service on a primary basis, subject to agreement obtained under No 9.21 (see No. 5.461). Regarding the FSS and maritime-mobile-satellite service (MMSS), some administrations have reported a shortfall of spectrum available for their current and future applications in these bands. FSS additional bandwidth requirements for data transmission on the next-generation satellites are estimated to be around a maximum of 100 </w:t>
      </w:r>
      <w:proofErr w:type="spellStart"/>
      <w:r>
        <w:t>MHz.</w:t>
      </w:r>
      <w:proofErr w:type="spellEnd"/>
      <w:r>
        <w:t xml:space="preserve"> </w:t>
      </w:r>
    </w:p>
    <w:p w:rsidR="00C106FD" w:rsidRDefault="00C106FD" w:rsidP="00C106FD">
      <w:pPr>
        <w:pStyle w:val="ECCParagraph"/>
      </w:pPr>
      <w:r>
        <w:t xml:space="preserve">WRC-15 Agenda Item 1.9 and Resolution 758 (WRC-12) invite ITU-R to conduct technical and regulatory studies on a possible new allocations to the FSS in the frequency bands 7 150-7 250 MHz (s-E) and 8 400-8 500 MHz (E-s) and to the MMSS in the frequency bands 7 375-7 750 MHz (s-E) and 8 025-8 400 MHz (E-s). </w:t>
      </w:r>
    </w:p>
    <w:p w:rsidR="00C106FD" w:rsidRDefault="00C106FD" w:rsidP="00C106FD">
      <w:pPr>
        <w:pStyle w:val="ECCParagraph"/>
      </w:pPr>
      <w:r>
        <w:t>Working Parties 4A and 4C have been identified by the Conference Preparatory Meeting as the responsible ITU-R groups for the studies on WRC-15 agenda item 1.9.1 and 1.9.2</w:t>
      </w:r>
      <w:r w:rsidRPr="00596DDC">
        <w:t xml:space="preserve"> </w:t>
      </w:r>
      <w:r>
        <w:t xml:space="preserve">respectively. At their first meetings, these groups sent liaison statements to gather technical characteristics and protection criteria needed to </w:t>
      </w:r>
      <w:r>
        <w:lastRenderedPageBreak/>
        <w:t>perform the appropriate sharing studies with existing services. They also established work plans for the band-by-band studies as well as for the development of the draft CPM text.</w:t>
      </w:r>
    </w:p>
    <w:p w:rsidR="00C106FD" w:rsidRDefault="00C106FD" w:rsidP="00C106FD">
      <w:pPr>
        <w:pStyle w:val="Heading1"/>
      </w:pPr>
      <w:r w:rsidRPr="005F007F">
        <w:t>List of relevant documents</w:t>
      </w:r>
    </w:p>
    <w:p w:rsidR="00C106FD" w:rsidRPr="00692C4F" w:rsidRDefault="00C106FD" w:rsidP="00C106FD">
      <w:pPr>
        <w:pStyle w:val="ECCParagraph"/>
        <w:rPr>
          <w:lang w:val="en-US"/>
        </w:rPr>
      </w:pPr>
      <w:r>
        <w:rPr>
          <w:lang w:val="en-US"/>
        </w:rPr>
        <w:t>WRC-15 agenda item</w:t>
      </w:r>
      <w:r w:rsidRPr="009F6503">
        <w:rPr>
          <w:lang w:val="en-US"/>
        </w:rPr>
        <w:t xml:space="preserve"> 1.9.1</w:t>
      </w:r>
      <w:r>
        <w:rPr>
          <w:lang w:val="en-US"/>
        </w:rPr>
        <w:t xml:space="preserve">: </w:t>
      </w:r>
      <w:r w:rsidRPr="00043693">
        <w:rPr>
          <w:lang w:val="en-US"/>
        </w:rPr>
        <w:t>Documents 4A/54 (Liaison statement from WP 5C), 61 (Annex 22) (w</w:t>
      </w:r>
      <w:r>
        <w:rPr>
          <w:lang w:val="en-US"/>
        </w:rPr>
        <w:t>ork plan)</w:t>
      </w:r>
    </w:p>
    <w:p w:rsidR="00C106FD" w:rsidRPr="00382FB8" w:rsidRDefault="00C106FD" w:rsidP="00C106FD">
      <w:pPr>
        <w:rPr>
          <w:snapToGrid w:val="0"/>
          <w:sz w:val="24"/>
          <w:u w:val="single"/>
        </w:rPr>
      </w:pPr>
      <w:r w:rsidRPr="00043693">
        <w:t>WRC-15 agenda item 1.9.2: Documents 4C/</w:t>
      </w:r>
      <w:r>
        <w:t xml:space="preserve">39 (Annex 5) (work plan), </w:t>
      </w:r>
      <w:r w:rsidRPr="00043693">
        <w:t>41 (</w:t>
      </w:r>
      <w:r>
        <w:t>Liaison statement from 5C), 47 (Liaison statement from 5A), 55 (Liaison statement from 4A</w:t>
      </w:r>
      <w:r w:rsidRPr="00FA4B99">
        <w:t xml:space="preserve">). </w:t>
      </w:r>
      <w:r>
        <w:rPr>
          <w:color w:val="000000"/>
          <w:lang w:val="fr-FR"/>
        </w:rPr>
        <w:t>Recommendation</w:t>
      </w:r>
      <w:r w:rsidRPr="007878FB">
        <w:rPr>
          <w:color w:val="000000"/>
          <w:lang w:val="fr-FR"/>
        </w:rPr>
        <w:t xml:space="preserve"> ITU-R SA.1277 and SA.1027</w:t>
      </w:r>
    </w:p>
    <w:p w:rsidR="00C106FD" w:rsidRDefault="00C106FD" w:rsidP="00C106FD">
      <w:pPr>
        <w:pStyle w:val="Heading1"/>
      </w:pPr>
      <w:r w:rsidRPr="005F007F">
        <w:t>Actions to be taken</w:t>
      </w:r>
    </w:p>
    <w:p w:rsidR="00C106FD" w:rsidRPr="00CB663E" w:rsidRDefault="00C106FD" w:rsidP="00C106FD">
      <w:pPr>
        <w:pStyle w:val="Heading2"/>
        <w:rPr>
          <w:b w:val="0"/>
          <w:caps w:val="0"/>
        </w:rPr>
      </w:pPr>
      <w:r w:rsidRPr="00CB663E">
        <w:rPr>
          <w:b w:val="0"/>
          <w:caps w:val="0"/>
          <w:snapToGrid w:val="0"/>
        </w:rPr>
        <w:t xml:space="preserve">In order to facilitate the technical studies and </w:t>
      </w:r>
      <w:r w:rsidRPr="00CB663E">
        <w:rPr>
          <w:b w:val="0"/>
          <w:caps w:val="0"/>
        </w:rPr>
        <w:t>in support of ITU-R studies, WP4C and WP4A sent liaison statements to WP4A, 5A, 5B, 5C, and 7B in order to obtain the corresponding technical characteristics (power, antenna gain) as well as the MMSS and the FSS characteristics and the degree of deployment (density of systems per km</w:t>
      </w:r>
      <w:r w:rsidRPr="00CB663E">
        <w:rPr>
          <w:b w:val="0"/>
          <w:vertAlign w:val="superscript"/>
        </w:rPr>
        <w:t>2</w:t>
      </w:r>
      <w:r w:rsidRPr="00CB663E">
        <w:rPr>
          <w:b w:val="0"/>
          <w:caps w:val="0"/>
        </w:rPr>
        <w:t xml:space="preserve"> per country, region and/or any other adequate representative figure) of the corresponding services in the corresponding frequency bands. Administrations are kindly requested to provide the corresponding characteristics.</w:t>
      </w:r>
    </w:p>
    <w:p w:rsidR="00C106FD" w:rsidRPr="00CB663E" w:rsidRDefault="00C106FD" w:rsidP="00C106FD">
      <w:pPr>
        <w:pStyle w:val="ECCParagraph"/>
        <w:rPr>
          <w:rFonts w:cs="Arial"/>
          <w:b/>
          <w:caps/>
        </w:rPr>
      </w:pPr>
      <w:r w:rsidRPr="00CB663E">
        <w:rPr>
          <w:rFonts w:cs="Arial"/>
          <w:lang w:val="en-US"/>
        </w:rPr>
        <w:t>Regarding 1.9.2, CEPT also proposes to:</w:t>
      </w:r>
    </w:p>
    <w:p w:rsidR="00C106FD" w:rsidRPr="00CB663E" w:rsidRDefault="00C106FD" w:rsidP="00C106FD">
      <w:pPr>
        <w:rPr>
          <w:rFonts w:cs="Arial"/>
          <w:b/>
          <w:color w:val="000000"/>
        </w:rPr>
      </w:pPr>
      <w:r w:rsidRPr="00CB663E">
        <w:rPr>
          <w:rFonts w:cs="Arial"/>
          <w:b/>
          <w:color w:val="000000"/>
        </w:rPr>
        <w:t>Study uplinks at 8GHz</w:t>
      </w:r>
    </w:p>
    <w:p w:rsidR="00C106FD" w:rsidRPr="00CB663E" w:rsidRDefault="00C106FD" w:rsidP="00C106FD">
      <w:pPr>
        <w:rPr>
          <w:rFonts w:cs="Arial"/>
          <w:b/>
          <w:color w:val="000000"/>
          <w:u w:val="single"/>
        </w:rPr>
      </w:pPr>
    </w:p>
    <w:p w:rsidR="00C106FD" w:rsidRPr="00CB663E" w:rsidRDefault="00C106FD" w:rsidP="00C106FD">
      <w:pPr>
        <w:pStyle w:val="ListParagraph"/>
        <w:numPr>
          <w:ilvl w:val="0"/>
          <w:numId w:val="20"/>
        </w:numPr>
        <w:rPr>
          <w:color w:val="000000"/>
          <w:sz w:val="20"/>
          <w:szCs w:val="20"/>
        </w:rPr>
      </w:pPr>
      <w:r w:rsidRPr="00CB663E">
        <w:rPr>
          <w:color w:val="000000"/>
          <w:sz w:val="20"/>
          <w:szCs w:val="20"/>
        </w:rPr>
        <w:t>Study MMSS protection distance needs of 8GHz Fixed and Mobile services, perhaps adapting the solutions of  Res 902 6GHz FSS ESVs as an example framework</w:t>
      </w:r>
    </w:p>
    <w:p w:rsidR="00C106FD" w:rsidRPr="00CB663E" w:rsidRDefault="00C106FD" w:rsidP="00C106FD">
      <w:pPr>
        <w:pStyle w:val="ListParagraph"/>
        <w:numPr>
          <w:ilvl w:val="0"/>
          <w:numId w:val="20"/>
        </w:numPr>
        <w:rPr>
          <w:color w:val="000000"/>
          <w:sz w:val="20"/>
          <w:szCs w:val="20"/>
        </w:rPr>
      </w:pPr>
      <w:r w:rsidRPr="00CB663E">
        <w:rPr>
          <w:color w:val="000000"/>
          <w:sz w:val="20"/>
          <w:szCs w:val="20"/>
        </w:rPr>
        <w:t>Study MMSS distance to protect EESS Earth stations – considering ITU-R SA.1277</w:t>
      </w:r>
    </w:p>
    <w:p w:rsidR="00C106FD" w:rsidRPr="00CB663E" w:rsidRDefault="00C106FD" w:rsidP="00C106FD">
      <w:pPr>
        <w:pStyle w:val="ListParagraph"/>
        <w:numPr>
          <w:ilvl w:val="0"/>
          <w:numId w:val="20"/>
        </w:numPr>
        <w:rPr>
          <w:color w:val="000000"/>
          <w:sz w:val="20"/>
          <w:szCs w:val="20"/>
        </w:rPr>
      </w:pPr>
      <w:r w:rsidRPr="00CB663E">
        <w:rPr>
          <w:color w:val="000000"/>
          <w:sz w:val="20"/>
          <w:szCs w:val="20"/>
        </w:rPr>
        <w:t xml:space="preserve">Study the feasibility of MMSS protection to </w:t>
      </w:r>
      <w:proofErr w:type="spellStart"/>
      <w:r w:rsidRPr="00CB663E">
        <w:rPr>
          <w:color w:val="000000"/>
          <w:sz w:val="20"/>
          <w:szCs w:val="20"/>
        </w:rPr>
        <w:t>MetSat</w:t>
      </w:r>
      <w:proofErr w:type="spellEnd"/>
      <w:r w:rsidRPr="00CB663E">
        <w:rPr>
          <w:color w:val="000000"/>
          <w:sz w:val="20"/>
          <w:szCs w:val="20"/>
        </w:rPr>
        <w:t>.</w:t>
      </w:r>
    </w:p>
    <w:p w:rsidR="00C106FD" w:rsidRPr="00CB663E" w:rsidRDefault="00C106FD" w:rsidP="00C106FD">
      <w:pPr>
        <w:tabs>
          <w:tab w:val="left" w:pos="691"/>
        </w:tabs>
        <w:rPr>
          <w:rFonts w:cs="Arial"/>
          <w:lang w:eastAsia="fr-FR"/>
        </w:rPr>
      </w:pPr>
    </w:p>
    <w:p w:rsidR="00C106FD" w:rsidRPr="00CB663E" w:rsidRDefault="00C106FD" w:rsidP="00C106FD">
      <w:pPr>
        <w:tabs>
          <w:tab w:val="left" w:pos="691"/>
        </w:tabs>
        <w:rPr>
          <w:rFonts w:cs="Arial"/>
        </w:rPr>
      </w:pPr>
      <w:r w:rsidRPr="00CB663E">
        <w:rPr>
          <w:rFonts w:cs="Arial"/>
          <w:color w:val="000000"/>
        </w:rPr>
        <w:t xml:space="preserve">Recommendation ITU-R SA.1277 has information on the required EESS protection distances from </w:t>
      </w:r>
      <w:proofErr w:type="spellStart"/>
      <w:r w:rsidRPr="00CB663E">
        <w:rPr>
          <w:rFonts w:cs="Arial"/>
          <w:color w:val="000000"/>
        </w:rPr>
        <w:t>MetSat</w:t>
      </w:r>
      <w:proofErr w:type="spellEnd"/>
      <w:r w:rsidRPr="00CB663E">
        <w:rPr>
          <w:rFonts w:cs="Arial"/>
          <w:color w:val="000000"/>
        </w:rPr>
        <w:t xml:space="preserve"> FS FSS and mobile stations. CEPT needs to confirm results for similar studies for the required protection distances </w:t>
      </w:r>
      <w:r w:rsidRPr="00CB663E">
        <w:rPr>
          <w:rFonts w:cs="Arial"/>
        </w:rPr>
        <w:t xml:space="preserve">from MMSS Earth stations. Document </w:t>
      </w:r>
      <w:r w:rsidRPr="00CB663E">
        <w:rPr>
          <w:rFonts w:cs="Arial"/>
          <w:b/>
        </w:rPr>
        <w:t>PTB(2012)010rev1</w:t>
      </w:r>
      <w:r w:rsidRPr="00CB663E">
        <w:rPr>
          <w:rFonts w:cs="Arial"/>
        </w:rPr>
        <w:t xml:space="preserve"> presents results of such studies with separation distances in the order of 400 km</w:t>
      </w:r>
    </w:p>
    <w:p w:rsidR="00C106FD" w:rsidRPr="00CB663E" w:rsidRDefault="00C106FD" w:rsidP="00C106FD">
      <w:pPr>
        <w:tabs>
          <w:tab w:val="left" w:pos="691"/>
        </w:tabs>
        <w:rPr>
          <w:rFonts w:cs="Arial"/>
        </w:rPr>
      </w:pPr>
    </w:p>
    <w:p w:rsidR="00C106FD" w:rsidRPr="00CB663E" w:rsidRDefault="00C106FD" w:rsidP="00C106FD">
      <w:pPr>
        <w:tabs>
          <w:tab w:val="left" w:pos="691"/>
        </w:tabs>
        <w:rPr>
          <w:rFonts w:cs="Arial"/>
          <w:lang w:eastAsia="fr-FR"/>
        </w:rPr>
      </w:pPr>
      <w:r w:rsidRPr="00CB663E">
        <w:rPr>
          <w:rFonts w:cs="Arial"/>
        </w:rPr>
        <w:t>CEPT needs the MMSS earth station and satellite parameters (</w:t>
      </w:r>
      <w:proofErr w:type="spellStart"/>
      <w:r w:rsidRPr="00CB663E">
        <w:rPr>
          <w:rFonts w:cs="Arial"/>
        </w:rPr>
        <w:t>Tx</w:t>
      </w:r>
      <w:proofErr w:type="spellEnd"/>
      <w:r w:rsidRPr="00CB663E">
        <w:rPr>
          <w:rFonts w:cs="Arial"/>
        </w:rPr>
        <w:t>, Gain, Minimum elevation angle, BW etc.).</w:t>
      </w:r>
    </w:p>
    <w:p w:rsidR="00C106FD" w:rsidRPr="002F345C" w:rsidRDefault="00C106FD" w:rsidP="00C106FD">
      <w:pPr>
        <w:tabs>
          <w:tab w:val="left" w:pos="691"/>
        </w:tabs>
        <w:rPr>
          <w:lang w:eastAsia="fr-FR"/>
        </w:rPr>
      </w:pPr>
    </w:p>
    <w:p w:rsidR="00C106FD" w:rsidRPr="00CB663E" w:rsidRDefault="00C106FD" w:rsidP="00C106FD">
      <w:pPr>
        <w:rPr>
          <w:rFonts w:cs="Arial"/>
          <w:b/>
          <w:color w:val="000000"/>
        </w:rPr>
      </w:pPr>
      <w:r w:rsidRPr="00CB663E">
        <w:rPr>
          <w:rFonts w:cs="Arial"/>
          <w:b/>
          <w:color w:val="000000"/>
        </w:rPr>
        <w:t>Study downlinks at 7GHz</w:t>
      </w:r>
    </w:p>
    <w:p w:rsidR="00C106FD" w:rsidRPr="00CB663E" w:rsidRDefault="00C106FD" w:rsidP="00C106FD">
      <w:pPr>
        <w:rPr>
          <w:rFonts w:cs="Arial"/>
          <w:b/>
          <w:color w:val="000000"/>
        </w:rPr>
      </w:pPr>
    </w:p>
    <w:p w:rsidR="00C106FD" w:rsidRPr="00CB663E" w:rsidRDefault="00C106FD" w:rsidP="00C106FD">
      <w:pPr>
        <w:pStyle w:val="ListParagraph"/>
        <w:numPr>
          <w:ilvl w:val="0"/>
          <w:numId w:val="21"/>
        </w:numPr>
        <w:rPr>
          <w:szCs w:val="22"/>
        </w:rPr>
      </w:pPr>
      <w:r w:rsidRPr="00CB663E">
        <w:rPr>
          <w:color w:val="000000"/>
          <w:sz w:val="20"/>
          <w:szCs w:val="20"/>
        </w:rPr>
        <w:t xml:space="preserve">Study the feasibility of the Maritime Mobile Satellite Service 7375-7750 MHz using the same PFD as FSS to protect FS and MS. </w:t>
      </w:r>
    </w:p>
    <w:p w:rsidR="00C106FD" w:rsidRPr="00CB663E" w:rsidRDefault="00C106FD" w:rsidP="00C106FD">
      <w:pPr>
        <w:pStyle w:val="ListParagraph"/>
        <w:numPr>
          <w:ilvl w:val="0"/>
          <w:numId w:val="21"/>
        </w:numPr>
        <w:rPr>
          <w:color w:val="000000"/>
          <w:sz w:val="20"/>
          <w:szCs w:val="20"/>
        </w:rPr>
      </w:pPr>
      <w:r w:rsidRPr="00CB663E">
        <w:rPr>
          <w:color w:val="000000"/>
          <w:sz w:val="20"/>
          <w:szCs w:val="20"/>
        </w:rPr>
        <w:t>Study and confirm compatibility of MMSS to METSAT.</w:t>
      </w:r>
    </w:p>
    <w:p w:rsidR="00C106FD" w:rsidRPr="00CB663E" w:rsidRDefault="00C106FD" w:rsidP="00C106FD">
      <w:pPr>
        <w:pStyle w:val="ListParagraph"/>
        <w:numPr>
          <w:ilvl w:val="0"/>
          <w:numId w:val="21"/>
        </w:numPr>
        <w:rPr>
          <w:color w:val="000000"/>
          <w:sz w:val="20"/>
          <w:szCs w:val="20"/>
        </w:rPr>
      </w:pPr>
      <w:r w:rsidRPr="00CB663E">
        <w:rPr>
          <w:color w:val="000000"/>
          <w:sz w:val="20"/>
          <w:szCs w:val="20"/>
        </w:rPr>
        <w:t>Study and confirm on compatibility of FS to MMSS that as FS max power of +55dBW is in RR   –  MMSS to not claim protection from FS</w:t>
      </w:r>
    </w:p>
    <w:p w:rsidR="00C106FD" w:rsidRPr="00CB663E" w:rsidRDefault="00C106FD" w:rsidP="00C106FD">
      <w:pPr>
        <w:pStyle w:val="ListParagraph"/>
        <w:numPr>
          <w:ilvl w:val="0"/>
          <w:numId w:val="21"/>
        </w:numPr>
        <w:rPr>
          <w:color w:val="000000"/>
          <w:sz w:val="20"/>
          <w:szCs w:val="20"/>
        </w:rPr>
      </w:pPr>
      <w:r w:rsidRPr="00CB663E">
        <w:rPr>
          <w:color w:val="000000"/>
          <w:sz w:val="20"/>
          <w:szCs w:val="20"/>
        </w:rPr>
        <w:t>Study and confirm on compatibility of MS to MMSS that as MS max power of +55dBW  is in RR – MMSS to not claim protection from MS</w:t>
      </w:r>
    </w:p>
    <w:p w:rsidR="00C106FD" w:rsidRDefault="00C106FD" w:rsidP="00C106FD">
      <w:pPr>
        <w:pStyle w:val="Heading1"/>
      </w:pPr>
      <w:r w:rsidRPr="002F7B8D">
        <w:t>Relevant information from outside CEPT</w:t>
      </w:r>
    </w:p>
    <w:p w:rsidR="00C106FD" w:rsidRDefault="00C106FD" w:rsidP="00C106FD">
      <w:pPr>
        <w:pStyle w:val="Heading2"/>
      </w:pPr>
      <w:r w:rsidRPr="009744B4">
        <w:t>European Union (date of proposal)</w:t>
      </w:r>
    </w:p>
    <w:p w:rsidR="00C106FD" w:rsidRPr="0017055A" w:rsidRDefault="00C106FD" w:rsidP="00C106FD">
      <w:pPr>
        <w:pStyle w:val="ECCParagraph"/>
        <w:rPr>
          <w:lang w:val="en-US"/>
        </w:rPr>
      </w:pPr>
    </w:p>
    <w:p w:rsidR="00C106FD" w:rsidRDefault="00C106FD" w:rsidP="00C106FD">
      <w:pPr>
        <w:pStyle w:val="Heading2"/>
      </w:pPr>
      <w:r w:rsidRPr="002F7B8D">
        <w:lastRenderedPageBreak/>
        <w:t>Regional telecommunication organisations</w:t>
      </w:r>
      <w:r>
        <w:t xml:space="preserve">: </w:t>
      </w:r>
    </w:p>
    <w:p w:rsidR="00C106F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APT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ATU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Arab Group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CITEL</w:t>
      </w:r>
      <w:r>
        <w:rPr>
          <w:lang w:val="en-US"/>
        </w:rPr>
        <w:t xml:space="preserve"> </w:t>
      </w:r>
      <w:r w:rsidRPr="002F7B8D">
        <w:rPr>
          <w:lang w:val="en-US"/>
        </w:rPr>
        <w:t>(date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RCC (date of proposal)</w:t>
      </w:r>
    </w:p>
    <w:p w:rsidR="00C106FD" w:rsidRPr="009744B4" w:rsidRDefault="00C106FD" w:rsidP="00C106FD">
      <w:pPr>
        <w:pStyle w:val="ECCParagraph"/>
        <w:rPr>
          <w:lang w:val="en-US"/>
        </w:rPr>
      </w:pPr>
    </w:p>
    <w:p w:rsidR="00C106FD" w:rsidRPr="002F7B8D" w:rsidRDefault="00C106FD" w:rsidP="00C106FD">
      <w:pPr>
        <w:pStyle w:val="Heading2"/>
      </w:pPr>
      <w:r w:rsidRPr="002F7B8D">
        <w:t>International organisations</w:t>
      </w:r>
    </w:p>
    <w:p w:rsidR="00C106F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IATA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ICAO</w:t>
      </w:r>
      <w:r>
        <w:rPr>
          <w:lang w:val="en-US"/>
        </w:rPr>
        <w:t xml:space="preserve"> </w:t>
      </w:r>
      <w:r w:rsidRPr="006E671C">
        <w:rPr>
          <w:lang w:val="en-US"/>
        </w:rPr>
        <w:t>(date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IMO</w:t>
      </w:r>
      <w:r>
        <w:rPr>
          <w:lang w:val="en-US"/>
        </w:rPr>
        <w:t xml:space="preserve"> </w:t>
      </w:r>
      <w:r w:rsidRPr="002F7B8D">
        <w:rPr>
          <w:lang w:val="en-US"/>
        </w:rPr>
        <w:t>(date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NATO</w:t>
      </w:r>
      <w:r>
        <w:rPr>
          <w:lang w:val="en-US"/>
        </w:rPr>
        <w:t xml:space="preserve"> </w:t>
      </w:r>
      <w:r w:rsidRPr="002F7B8D">
        <w:rPr>
          <w:lang w:val="en-US"/>
        </w:rPr>
        <w:t>(date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SFCG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WMO and EUMETNET (date of proposal)</w:t>
      </w:r>
    </w:p>
    <w:p w:rsidR="00C106FD" w:rsidRPr="009744B4" w:rsidRDefault="00C106FD" w:rsidP="00C106FD">
      <w:pPr>
        <w:pStyle w:val="ECCParagraph"/>
        <w:rPr>
          <w:lang w:val="en-US"/>
        </w:rPr>
      </w:pPr>
    </w:p>
    <w:p w:rsidR="00C106FD" w:rsidRPr="002F7B8D" w:rsidRDefault="00C106FD" w:rsidP="00C106FD">
      <w:pPr>
        <w:pStyle w:val="Heading2"/>
      </w:pPr>
      <w:r w:rsidRPr="002F7B8D">
        <w:t>Regional organisations</w:t>
      </w:r>
    </w:p>
    <w:p w:rsidR="00C106FD" w:rsidRDefault="00C106FD" w:rsidP="00C106FD">
      <w:pPr>
        <w:pStyle w:val="ECCParagraph"/>
        <w:rPr>
          <w:lang w:val="en-US"/>
        </w:rPr>
      </w:pPr>
    </w:p>
    <w:p w:rsidR="00C106FD" w:rsidRDefault="00C106FD" w:rsidP="00C106FD">
      <w:pPr>
        <w:pStyle w:val="ECCParagraph"/>
        <w:rPr>
          <w:lang w:val="en-US"/>
        </w:rPr>
      </w:pPr>
      <w:r w:rsidRPr="002F7B8D">
        <w:rPr>
          <w:lang w:val="en-US"/>
        </w:rPr>
        <w:t>ESA</w:t>
      </w:r>
      <w:r>
        <w:rPr>
          <w:lang w:val="en-US"/>
        </w:rPr>
        <w:t xml:space="preserve"> </w:t>
      </w:r>
      <w:r w:rsidRPr="002F7B8D">
        <w:rPr>
          <w:lang w:val="en-US"/>
        </w:rPr>
        <w:t>(date of proposal)</w:t>
      </w:r>
    </w:p>
    <w:p w:rsidR="00C106FD" w:rsidRPr="002F7B8D" w:rsidRDefault="00C106FD" w:rsidP="00C106FD">
      <w:pPr>
        <w:pStyle w:val="ECCParagraph"/>
        <w:rPr>
          <w:lang w:val="en-US"/>
        </w:rPr>
      </w:pPr>
    </w:p>
    <w:p w:rsidR="00C106FD" w:rsidRDefault="00C106FD" w:rsidP="00C106FD">
      <w:pPr>
        <w:pStyle w:val="ECCParagraph"/>
        <w:rPr>
          <w:lang w:val="en-US"/>
        </w:rPr>
      </w:pPr>
      <w:r w:rsidRPr="002F7B8D">
        <w:rPr>
          <w:lang w:val="en-US"/>
        </w:rPr>
        <w:t>EUMETNET (date of proposal)</w:t>
      </w:r>
    </w:p>
    <w:p w:rsidR="00C106FD" w:rsidRPr="002F7B8D" w:rsidRDefault="00C106FD" w:rsidP="00C106FD">
      <w:pPr>
        <w:pStyle w:val="ECCParagraph"/>
        <w:rPr>
          <w:lang w:val="en-US"/>
        </w:rPr>
      </w:pPr>
    </w:p>
    <w:p w:rsidR="008A54FC" w:rsidRPr="00C106FD" w:rsidRDefault="00C106FD" w:rsidP="00C106FD">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sectPr w:rsidR="008A54FC" w:rsidRPr="00C106FD" w:rsidSect="00DC58F0">
      <w:headerReference w:type="even" r:id="rId11"/>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F98" w:rsidRDefault="00351F98" w:rsidP="008A54FC">
      <w:r>
        <w:separator/>
      </w:r>
    </w:p>
  </w:endnote>
  <w:endnote w:type="continuationSeparator" w:id="0">
    <w:p w:rsidR="00351F98" w:rsidRDefault="00351F98"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F98" w:rsidRDefault="00351F98" w:rsidP="008A54FC">
      <w:r>
        <w:separator/>
      </w:r>
    </w:p>
  </w:footnote>
  <w:footnote w:type="continuationSeparator" w:id="0">
    <w:p w:rsidR="00351F98" w:rsidRDefault="00351F98"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959" w:rsidRPr="005F4F01" w:rsidRDefault="000B4959">
    <w:pPr>
      <w:pStyle w:val="Header"/>
      <w:rPr>
        <w:szCs w:val="16"/>
        <w:lang w:val="en-GB"/>
      </w:rPr>
    </w:pPr>
    <w:r w:rsidRPr="005F4F01">
      <w:rPr>
        <w:lang w:val="en-GB"/>
      </w:rPr>
      <w:t xml:space="preserve">Draft CEPT Brief on AI </w:t>
    </w:r>
    <w:r w:rsidR="00E9603E">
      <w:rPr>
        <w:lang w:val="en-GB"/>
      </w:rPr>
      <w:t>7</w:t>
    </w:r>
    <w:r w:rsidRPr="005F4F01">
      <w:rPr>
        <w:lang w:val="en-GB"/>
      </w:rPr>
      <w:t xml:space="preserve">  </w:t>
    </w:r>
    <w:r w:rsidRPr="005F4F01">
      <w:rPr>
        <w:szCs w:val="16"/>
        <w:lang w:val="en-GB"/>
      </w:rPr>
      <w:t xml:space="preserve">Page </w:t>
    </w:r>
    <w:r w:rsidR="00C67CDB">
      <w:fldChar w:fldCharType="begin"/>
    </w:r>
    <w:r>
      <w:instrText xml:space="preserve"> PAGE  \* Arabic  \* MERGEFORMAT </w:instrText>
    </w:r>
    <w:r w:rsidR="00C67CDB">
      <w:fldChar w:fldCharType="separate"/>
    </w:r>
    <w:r w:rsidR="006A24A5" w:rsidRPr="006A24A5">
      <w:rPr>
        <w:noProof/>
        <w:szCs w:val="16"/>
        <w:lang w:val="en-GB"/>
      </w:rPr>
      <w:t>2</w:t>
    </w:r>
    <w:r w:rsidR="00C67CDB">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8F0" w:rsidRPr="005F4F01" w:rsidRDefault="00DC58F0">
    <w:pPr>
      <w:pStyle w:val="Header"/>
      <w:rPr>
        <w:szCs w:val="16"/>
        <w:lang w:val="en-GB"/>
      </w:rPr>
    </w:pPr>
    <w:r w:rsidRPr="005F4F01">
      <w:rPr>
        <w:lang w:val="en-GB"/>
      </w:rPr>
      <w:t xml:space="preserve">Draft CEPT Brief on AI </w:t>
    </w:r>
    <w:r w:rsidR="00803498" w:rsidRPr="00803498">
      <w:t>1.</w:t>
    </w:r>
    <w:r w:rsidR="00C106FD" w:rsidRPr="00C106FD">
      <w:t>9</w:t>
    </w:r>
    <w:r w:rsidRPr="005F4F01">
      <w:rPr>
        <w:lang w:val="en-GB"/>
      </w:rPr>
      <w:t xml:space="preserve">  </w:t>
    </w:r>
    <w:r w:rsidRPr="005F4F01">
      <w:rPr>
        <w:szCs w:val="16"/>
        <w:lang w:val="en-GB"/>
      </w:rPr>
      <w:t xml:space="preserve">Page </w:t>
    </w:r>
    <w:r w:rsidR="00C67CDB">
      <w:fldChar w:fldCharType="begin"/>
    </w:r>
    <w:r>
      <w:instrText xml:space="preserve"> PAGE  \* Arabic  \* MERGEFORMAT </w:instrText>
    </w:r>
    <w:r w:rsidR="00C67CDB">
      <w:fldChar w:fldCharType="separate"/>
    </w:r>
    <w:r w:rsidR="00852EF3" w:rsidRPr="00852EF3">
      <w:rPr>
        <w:noProof/>
        <w:szCs w:val="16"/>
        <w:lang w:val="en-GB"/>
      </w:rPr>
      <w:t>4</w:t>
    </w:r>
    <w:r w:rsidR="00C67CDB">
      <w:rPr>
        <w:noProof/>
        <w:szCs w:val="16"/>
        <w:lang w:val="da-D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nsid w:val="66E36C84"/>
    <w:multiLevelType w:val="multilevel"/>
    <w:tmpl w:val="FCEC7FBC"/>
    <w:numStyleLink w:val="ECCBullets"/>
  </w:abstractNum>
  <w:abstractNum w:abstractNumId="14">
    <w:nsid w:val="6DE77816"/>
    <w:multiLevelType w:val="hybridMultilevel"/>
    <w:tmpl w:val="11CE5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6433BAB"/>
    <w:multiLevelType w:val="hybridMultilevel"/>
    <w:tmpl w:val="11CE5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7"/>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3"/>
  </w:num>
  <w:num w:numId="10">
    <w:abstractNumId w:val="11"/>
  </w:num>
  <w:num w:numId="11">
    <w:abstractNumId w:val="7"/>
  </w:num>
  <w:num w:numId="12">
    <w:abstractNumId w:val="3"/>
  </w:num>
  <w:num w:numId="13">
    <w:abstractNumId w:val="1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
  </w:num>
  <w:num w:numId="20">
    <w:abstractNumId w:val="14"/>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F3"/>
    <w:rsid w:val="00005CA4"/>
    <w:rsid w:val="000272B2"/>
    <w:rsid w:val="00052664"/>
    <w:rsid w:val="00067793"/>
    <w:rsid w:val="00082DD7"/>
    <w:rsid w:val="000B4959"/>
    <w:rsid w:val="000C028F"/>
    <w:rsid w:val="000E19B2"/>
    <w:rsid w:val="000E42F5"/>
    <w:rsid w:val="000F5805"/>
    <w:rsid w:val="001554BD"/>
    <w:rsid w:val="00165220"/>
    <w:rsid w:val="0017055A"/>
    <w:rsid w:val="00183FE0"/>
    <w:rsid w:val="001A123D"/>
    <w:rsid w:val="001E440D"/>
    <w:rsid w:val="00274F84"/>
    <w:rsid w:val="00285E70"/>
    <w:rsid w:val="002930E9"/>
    <w:rsid w:val="0029448B"/>
    <w:rsid w:val="002B4833"/>
    <w:rsid w:val="002C24D8"/>
    <w:rsid w:val="002E1F57"/>
    <w:rsid w:val="002F5286"/>
    <w:rsid w:val="003147D9"/>
    <w:rsid w:val="00351F98"/>
    <w:rsid w:val="00372013"/>
    <w:rsid w:val="003860FD"/>
    <w:rsid w:val="003872D7"/>
    <w:rsid w:val="003B47C7"/>
    <w:rsid w:val="003F0C5D"/>
    <w:rsid w:val="004110CA"/>
    <w:rsid w:val="004E50F1"/>
    <w:rsid w:val="00550D79"/>
    <w:rsid w:val="00557B5A"/>
    <w:rsid w:val="005617BF"/>
    <w:rsid w:val="00594186"/>
    <w:rsid w:val="005B3CCE"/>
    <w:rsid w:val="005C10EB"/>
    <w:rsid w:val="005D0C3B"/>
    <w:rsid w:val="005E4586"/>
    <w:rsid w:val="005E6B94"/>
    <w:rsid w:val="005F4F01"/>
    <w:rsid w:val="00604114"/>
    <w:rsid w:val="006254E8"/>
    <w:rsid w:val="006A11F8"/>
    <w:rsid w:val="006A24A5"/>
    <w:rsid w:val="006A2A56"/>
    <w:rsid w:val="006F0D75"/>
    <w:rsid w:val="006F54B3"/>
    <w:rsid w:val="00714324"/>
    <w:rsid w:val="00734A4F"/>
    <w:rsid w:val="00763BA3"/>
    <w:rsid w:val="00767BB2"/>
    <w:rsid w:val="00780376"/>
    <w:rsid w:val="00783854"/>
    <w:rsid w:val="00797D4C"/>
    <w:rsid w:val="007A7398"/>
    <w:rsid w:val="007F6808"/>
    <w:rsid w:val="008018E9"/>
    <w:rsid w:val="00803498"/>
    <w:rsid w:val="00840CD8"/>
    <w:rsid w:val="00852EF3"/>
    <w:rsid w:val="008624C5"/>
    <w:rsid w:val="008A54FC"/>
    <w:rsid w:val="008B70CD"/>
    <w:rsid w:val="008D7A4F"/>
    <w:rsid w:val="008F6CDE"/>
    <w:rsid w:val="00900B26"/>
    <w:rsid w:val="00916186"/>
    <w:rsid w:val="00925A32"/>
    <w:rsid w:val="009272DB"/>
    <w:rsid w:val="00941FD2"/>
    <w:rsid w:val="009744B4"/>
    <w:rsid w:val="009755AC"/>
    <w:rsid w:val="00983AA0"/>
    <w:rsid w:val="00987249"/>
    <w:rsid w:val="009E47EB"/>
    <w:rsid w:val="009F7943"/>
    <w:rsid w:val="00A076B5"/>
    <w:rsid w:val="00A10852"/>
    <w:rsid w:val="00A66106"/>
    <w:rsid w:val="00A71344"/>
    <w:rsid w:val="00A74DD8"/>
    <w:rsid w:val="00A83440"/>
    <w:rsid w:val="00A95ACB"/>
    <w:rsid w:val="00AA086A"/>
    <w:rsid w:val="00AB00A4"/>
    <w:rsid w:val="00AD3C20"/>
    <w:rsid w:val="00B25463"/>
    <w:rsid w:val="00B30D3B"/>
    <w:rsid w:val="00B432D4"/>
    <w:rsid w:val="00B555F3"/>
    <w:rsid w:val="00B93E30"/>
    <w:rsid w:val="00C075BF"/>
    <w:rsid w:val="00C106FD"/>
    <w:rsid w:val="00C67CDB"/>
    <w:rsid w:val="00D1389E"/>
    <w:rsid w:val="00D87509"/>
    <w:rsid w:val="00DC58F0"/>
    <w:rsid w:val="00DD057B"/>
    <w:rsid w:val="00DF2C67"/>
    <w:rsid w:val="00E14B87"/>
    <w:rsid w:val="00E35508"/>
    <w:rsid w:val="00E67E22"/>
    <w:rsid w:val="00E71AE7"/>
    <w:rsid w:val="00E81E31"/>
    <w:rsid w:val="00E84479"/>
    <w:rsid w:val="00E9603E"/>
    <w:rsid w:val="00EA6088"/>
    <w:rsid w:val="00EB2A02"/>
    <w:rsid w:val="00F56476"/>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 w:type="paragraph" w:styleId="ListParagraph">
    <w:name w:val="List Paragraph"/>
    <w:basedOn w:val="Normal"/>
    <w:uiPriority w:val="34"/>
    <w:qFormat/>
    <w:rsid w:val="00C106FD"/>
    <w:pPr>
      <w:ind w:left="720"/>
      <w:contextualSpacing/>
    </w:pPr>
    <w:rPr>
      <w:rFonts w:cs="Arial"/>
      <w:sz w:val="2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 w:type="paragraph" w:styleId="ListParagraph">
    <w:name w:val="List Paragraph"/>
    <w:basedOn w:val="Normal"/>
    <w:uiPriority w:val="34"/>
    <w:qFormat/>
    <w:rsid w:val="00C106FD"/>
    <w:pPr>
      <w:ind w:left="720"/>
      <w:contextualSpacing/>
    </w:pPr>
    <w:rPr>
      <w:rFonts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633032">
      <w:bodyDiv w:val="1"/>
      <w:marLeft w:val="0"/>
      <w:marRight w:val="0"/>
      <w:marTop w:val="0"/>
      <w:marBottom w:val="0"/>
      <w:divBdr>
        <w:top w:val="none" w:sz="0" w:space="0" w:color="auto"/>
        <w:left w:val="none" w:sz="0" w:space="0" w:color="auto"/>
        <w:bottom w:val="none" w:sz="0" w:space="0" w:color="auto"/>
        <w:right w:val="none" w:sz="0" w:space="0" w:color="auto"/>
      </w:divBdr>
    </w:div>
    <w:div w:id="17471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CEPT%20Files\2012-2015\CPG%20PTB\1%20Meeting%20London%20September%202012\Template-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35001-0EDB-4D62-8EE2-6A1F0339D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brief.dotx</Template>
  <TotalTime>1</TotalTime>
  <Pages>5</Pages>
  <Words>1030</Words>
  <Characters>5874</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6891</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shienok</dc:creator>
  <dc:description>This template is used as guidance to draft ECC Reports.</dc:description>
  <cp:lastModifiedBy>wesley.milton</cp:lastModifiedBy>
  <cp:revision>4</cp:revision>
  <cp:lastPrinted>1901-01-01T00:00:00Z</cp:lastPrinted>
  <dcterms:created xsi:type="dcterms:W3CDTF">2013-01-14T07:36:00Z</dcterms:created>
  <dcterms:modified xsi:type="dcterms:W3CDTF">2013-01-14T12:22:00Z</dcterms:modified>
</cp:coreProperties>
</file>